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´Hargrand´</text:h>
      <text:p text:style-name="Definition_20_Term_20_Tight">Název taxonu</text:p>
      <text:p text:style-name="Definition_20_Definition_20_Tight">Prunus armeniaca ´Hargrand´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´Hargrand´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Kanada, Harrow, Dr. Layne, 1972</text:p>
      <text:h text:style-name="Heading_20_4" text:outline-level="4">Zařazení</text:h>
      <text:p text:style-name="Definition_20_Term_20_Tight">Fytocenologický původ</text:p>
      <text:p text:style-name="Definition_20_Definition_20_Tight">kříženec ´V 51092´ x ´NJA 1´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vznosná kompaktní koruna, v plodnosti se rozkládá</text:p>
      <text:p text:style-name="Definition_20_Term_20_Tight">Květy</text:p>
      <text:p text:style-name="Definition_20_Definition_20_Tight">velké jako ´Velkopavlovická´, okrouhlé, blizna v úrovni prašníků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velmi velké (65 až 85 g), kulovité, hladké, matně oranžové barvy, dužnina je světle oranžová, dužnina pevná, dobře odlučitelná od pecky, chutí je dobrá, harmonická, plody dobře snáší přepravu</text:p>
      <text:h text:style-name="Heading_20_4" text:outline-level="4">Doba zrání</text:h>
      <text:p text:style-name="Definition_20_Term_20_Tight">Doba zrání - poznámka</text:p>
      <text:p text:style-name="Definition_20_Definition_20_Tight">červenec až srpen (průměr: 25. 7.), zraje 2 dny po ´Velkopavlovická´</text:p>
      <text:h text:style-name="Heading_20_4" text:outline-level="4">Nároky na stanoviště</text:h>
      <text:p text:style-name="Definition_20_Term_20_Tight">Faktor tepla</text:p>
      <text:p text:style-name="Definition_20_Definition_20_Tight">vysoce mrazuodolná</text:p>
      <text:h text:style-name="Heading_20_4" text:outline-level="4">Agrotechnické vlastnosti a požadavky</text:h>
      <text:p text:style-name="Definition_20_Term_20_Tight">Vhodnost vedení</text:p>
      <text:p text:style-name="Definition_20_Definition_20_Tight">zákrsek, špičák s předčasným obrostem</text:p>
      <text:p text:style-name="Definition_20_Term_20_Tight">Podnož</text:p>
      <text:p text:style-name="Definition_20_Definition_20_Tight">semenáče, St. Julien, myrobalán, Wangenheim, myrobalán</text:p>
      <text:h text:style-name="Heading_20_4" text:outline-level="4">Užitné vlastnosti</text:h>
      <text:p text:style-name="Definition_20_Term_20_Tight">Použití</text:p>
      <text:p text:style-name="Definition_20_Definition_20_Tight">odrůda je vhodná pro přímý konzum i zpracování</text:p>
      <text:p text:style-name="Definition_20_Term_20_Tight">Choroby a škůdci</text:p>
      <text:p text:style-name="Definition_20_Definition_20_Tight">extrémně rezistentní k chorobám</text:p>
      <text:p text:style-name="Definition_20_Term_20_Tight">Růstové i jiné druhově specifické vlastnosti</text:p>
      <text:p text:style-name="Definition_20_Definition_20_Tight">vzrůstná až do 2,4 m, středně silný růst</text:p>
      <text:p text:style-name="Definition_20_Term_20_Tight">Plodnost</text:p>
      <text:p text:style-name="Definition_20_Definition_20_Tight">vysoká a pravidelná, v některých letech přeplozuje (nutná probírka), velmi spolehlivá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Ostatní</text:h>
      <text:p text:style-name="Definition_20_Term_20_Tight">Poznámka</text:p>
      <text:p text:style-name="Definition_20_Definition_20_Tight">Velkoplodá, spolehlivě plodící meruňka, odolná k mrazu v době květu i vůči chorobám, vhodná i do okrajových oblastí.</text:p>
      <text:h text:style-name="Heading_20_4" text:outline-level="4">Grafické přílohy</text:h>
      <text:p text:style-name="First_20_paragraph">
        <text:a xlink:type="simple" xlink:href="http://ww.taxonweb.cz/media/W1siZiIsIjIwMTMvMDYvMTMvMDVfNDJfMDNfMjUwX2dvZ29sa292YV9QcnVudXNfYXJtZW5pYWNhX0hhcmdyYW5kX19wbG9keS5qcGciXV0?sha=5306a74d" office:name="">
          <text:span text:style-name="Definition">
            <draw:frame svg:width="236pt" svg:height="214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