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Chrysanthemum segetum</text:h>
      <text:p text:style-name="Definition_20_Term_20_Tight">Název taxonu</text:p>
      <text:p text:style-name="Definition_20_Definition_20_Tight">Chrysanthemum segetum</text:p>
      <text:p text:style-name="Definition_20_Term_20_Tight">Vědecký název taxonu</text:p>
      <text:p text:style-name="Definition_20_Definition_20_Tight">Chrysanthemum segetum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zlateň osenní</text:p>
      <text:p text:style-name="Definition_20_Term_20_Tight">Synonyma (zahradnicky používaný název)</text:p>
      <text:p text:style-name="Definition_20_Definition_20_Tight">Glebonis segetum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9" office:name="">
          <text:span text:style-name="Definition">Glebionis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Středozemí a Jihozápadní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20-60 cm dlouhé</text:p>
      <text:p text:style-name="Definition_20_Term_20_Tight">Listy</text:p>
      <text:p text:style-name="Definition_20_Definition_20_Tight">celokrajné, pilovité, kopinaté, okrouhlé, řapíkaté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žluté</text:p>
      <text:p text:style-name="Definition_20_Term_20_Tight">Plody</text:p>
      <text:p text:style-name="Definition_20_Definition_20_Tight">hranatá, z jazykovitých květů křídlatá, slámově žlutá 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i vlhké stanoviště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