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Cynara cardunculus</text:h>
      <text:p text:style-name="Definition_20_Term_20_Tight">Název taxonu</text:p>
      <text:p text:style-name="Definition_20_Definition_20_Tight">Cynara cardunculus</text:p>
      <text:p text:style-name="Definition_20_Term_20_Tight">Vědecký název taxonu</text:p>
      <text:p text:style-name="Definition_20_Definition_20_Tight">Cynara cardunculus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Artyčok kardový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2" office:name="">
          <text:span text:style-name="Definition">Cynara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Iberský, Balkánský, Apeninský poloostrov</text:p>
      <text:h text:style-name="Heading_20_4" text:outline-level="4">Zařazení</text:h>
      <text:p text:style-name="Definition_20_Term_20_Tight">Pěstitelská skupina</text:p>
      <text:p text:style-name="Definition_20_Definition_20_Tight">Trvalka zatahující a Méně známá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70-18O cm vysoká</text:p>
      <text:p text:style-name="Definition_20_Term_20_Tight">Listy</text:p>
      <text:p text:style-name="Definition_20_Definition_20_Tight">přízemní listy v růžici řapíkaté, prřenosečné až peřenodílné, na rubu běloplstnaté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trubkovité modrofialové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solitera v letničkovém záhonu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výsevem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(Ano)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