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Nativa</text:h>
      <text:p text:style-name="Definition_20_Term_20_Tight">Název taxonu</text:p>
      <text:p text:style-name="Definition_20_Definition_20_Tight">Vitis vinifera Nativa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´Nativa´ (Na)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3-10-34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´Fratava´ x ´Merlan´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otevřený s průsvitem;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 hrozen, často s křidélkem, poměrně hustý; bobule je malá až střední,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(má širší hrozen a hladší povrch listů)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vododržné půdy, nesnáší sucho</text:p>
      <text:p text:style-name="Definition_20_Term_20_Tight">Faktor půdy</text:p>
      <text:p text:style-name="Definition_20_Definition_20_Tight">hlinité, hlinitojílovité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těžších půd T 8B, Börner, do lehčích pak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chorobám, citlivější k plísni šedé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ovocné až květinové vůně a kořenité chuti</text:p>
      <text:p text:style-name="Definition_20_Term_20_Tight">Doporučená technologie vína</text:p>
      <text:p text:style-name="Definition_20_Definition_20_Tight">jakostní a přívlastková červená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19, 20, 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jRfNDcwX1NvdG9sYXJfVml0aXNfdmluaWZlcmFfbmF0aXZhX2NlbGtvdmEuanBnIl1d?sha=668afc6a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jRfODE3X1NvdG9sYXJfVml0aXNfdmluaWZlcmFfbmF0aXZhX2hyb3plbi5qcGciXV0?sha=218a102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