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´Karl Foerster´</text:h>
      <text:p text:style-name="Definition_20_Term_20_Tight">Název taxonu</text:p>
      <text:p text:style-name="Definition_20_Definition_20_Tight">Calamagrostis x acutiflora ´Karl Foerster´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´Karl Foerster´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listu vysoká kolem 80 cm, v době květu 150 - 170 cm.</text:p>
      <text:p text:style-name="Definition_20_Term_20_Tight">Kořen</text:p>
      <text:p text:style-name="Definition_20_Definition_20_Tight">svazčitý kořen.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60 - 90 cm dlouhé a 2 cm široké, na okraji drsné. Na podzim vybarvují do žluta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´Overdam´- má podélné bíle panašované listy a v době květu je nižší - cca do 150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(C2a)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(pod protihlukovou stěnou)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(záhon č. 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ZfMjJfOTFfS3V0a292YV9DYWxhbWFncm9zdGlzX3hfYWN1dGlmbG9yYV9LYXJsX0ZvZXJzdGVyXy5qcGciXV0?sha=df940de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