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Krystal</text:h>
      <text:p text:style-name="Definition_20_Term_20_Tight">Název taxonu</text:p>
      <text:p text:style-name="Definition_20_Definition_20_Tight">K2 Krystal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´Krystal´ (Kr)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 43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(´V. amurensis´ x ´Thalloczy Lajos´) x ´Villard blanc´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výrazně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 mírně hlubokými výkroji, řapíkový výkrojek je lyrovitý, uzavřený; povrch listu je hladký až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malý až středně velký, kuželovitý, hustý; bobule je menší, oválná, zelenožlutá</text:p>
      <text:p text:style-name="Definition_20_Term_20_Tight">Semena</text:p>
      <text:p text:style-name="Definition_20_Definition_20_Tight">malá,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tažně, snáší i krátký řez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vyšší odolnost k houbovým chorobám i mrazu</text:p>
      <text:p text:style-name="Definition_20_Term_20_Tight">Plodnost</text:p>
      <text:p text:style-name="Definition_20_Definition_20_Tight">středně raná, pravidelná (výnos až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MDhfNjA0X0JhYmlrb3ZhX2tyeXN0YWxfaHJvemVuLmpwZyJdXQ?sha=c431c50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MDhfNzUyX0JhYmlrb3ZhX2tyeXN0YWxfcHJlenJhbGVfaHJvem55LmpwZyJdXQ?sha=d450aaed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