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Malinger</text:h>
      <text:p text:style-name="Definition_20_Term_20_Tight">Název taxonu</text:p>
      <text:p text:style-name="Definition_20_Definition_20_Tight">Vitis vinifera Malinger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´Malingrovo rané´ (Mr)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Malingr raný, Hedvábné rané, Précoce de Malingre, Malaga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evropská odrůda, vypěstována v roce 1840 zahradníkem Malingrem v Paříži ze semene neznámého původu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menší až středně velké, pětilaločnaté s výraznými horními výkroji, bazální výkroj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 s křidélky; bobule kulatá až elipsovitá, středně velká, zelenožlutá</text:p>
      <text:p text:style-name="Definition_20_Term_20_Tight">Semena</text:p>
      <text:p text:style-name="Definition_20_Definition_20_Tight">malá až 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´Čabaňská perla´ (Malinger zraje asi deset dnů po Čabaňské perle)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 a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(dříve i stolní) - výroba bílého vína, přímý konzum</text:p>
      <text:p text:style-name="Definition_20_Term_20_Tight">Choroby a škůdci</text:p>
      <text:p text:style-name="Definition_20_Definition_20_Tight">střední odolnost k houbovým chorobám, citlivá k plísni šedé i révové</text:p>
      <text:p text:style-name="Definition_20_Term_20_Tight">Plodnost</text:p>
      <text:p text:style-name="Definition_20_Definition_20_Tight">ranější,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středně masitá až chruplavá, sladká a šťavnatá; víno je ovocné s jemnou kyselinkou</text:p>
      <text:p text:style-name="Definition_20_Term_20_Tight">Doporučená technologie vína</text:p>
      <text:p text:style-name="Definition_20_Definition_20_Tight">burčák, stolní a jakostní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BfNTVfODc4X1NvdG9sYXJfVml0aXNfdmluaWZlcmFfbWFsaW5nZXJfaHJvemVuLmpwZyJdXQ?sha=a34f2bb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BfNTZfMTg1X1NvdG9sYXJfVml0aXNfdmluaWZlcmFfbWFsaW5nZXJfbGlzdC5qcGciXV0?sha=9d92c76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BfNTZfNDY4X1NvdG9sYXJfVml0aXNfdmluaWZlcmFfbWFsaW5nZXJfY2Vsa292YTEuanBnIl1d?sha=7d02845d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BfNTZfNzA1X1NvdG9sYXJfVml0aXNfdmluaWZlcmFfbWFsaW5nZXJfcHJlenJhbHkuanBnIl1d?sha=3b8becf2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BfNTZfOTQ0X1NvdG9sYXJfVml0aXNfdmluaWZlcmFfbWFsaW5nZXJfY2Vsa292YS5qcGciXV0?sha=dd1dd907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