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´Lemeda´</text:h>
      <text:p text:style-name="Definition_20_Term_20_Tight">Název taxonu</text:p>
      <text:p text:style-name="Definition_20_Definition_20_Tight">Prunus armeniaca ´Lemeda´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´Lemeda´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 (41 g), kulovité, oranžové s jemným kropenatým líčkem, dužnina světle oranžová, dobré chuti, velmi sladké, vyšší refrakce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8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zejména kompotování</text:p>
      <text:p text:style-name="Definition_20_Term_20_Tight">Choroby a škůdci</text:p>
      <text:p text:style-name="Definition_20_Definition_20_Tight">dobrá odolnost proti hnědnutí listů</text:p>
      <text:p text:style-name="Definition_20_Term_20_Tight">Růstové i jiné druhově specifické vlastnosti</text:p>
      <text:p text:style-name="Definition_20_Definition_20_Tight">roste středně bujně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TRfMjg0X2dvZ29sa292YV9QcnVudXNfYXJtZW5pYWNhX0xlbWVkYV9fcGxvZHkuanBnIl1d?sha=87faf540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