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Molinia arundinacea ´Transparent´</text:h>
      <text:p text:style-name="Definition_20_Term_20_Tight">Název taxonu</text:p>
      <text:p text:style-name="Definition_20_Definition_20_Tight">Molinia arundinacea ´Transparent´</text:p>
      <text:p text:style-name="Definition_20_Term_20_Tight">Vědecký název taxonu</text:p>
      <text:p text:style-name="Definition_20_Definition_20_Tight">Molinia arundinacea</text:p>
      <text:p text:style-name="Definition_20_Term_20_Tight">Jména autorů, kteří taxon popsali</text:p>
      <text:p text:style-name="Definition_20_Definition_20_Tight">
        <text:a xlink:type="simple" xlink:href="/taxon-authors/663" office:name="">
          <text:span text:style-name="Definition">Schrank</text:span>
        </text:a>
      </text:p>
      <text:p text:style-name="Definition_20_Term_20_Tight">Odrůda</text:p>
      <text:p text:style-name="Definition_20_Definition_20_Tight">´Transparent´</text:p>
      <text:p text:style-name="Definition_20_Term_20_Tight">Český název</text:p>
      <text:p text:style-name="Definition_20_Definition_20_Tight">bezkolenec rákosovitý</text:p>
      <text:p text:style-name="Definition_20_Term_20_Tight">Synonyma (zahradnicky používaný název)</text:p>
      <text:p text:style-name="Definition_20_Definition_20_Tight">Molinia caerulea ssp. arundinacea (Schrank) H. K. G. Paul.; Molinia altissima Link.; Molinia caerulea ssp. litoralis (Host) Braun-Blanq.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79" office:name="">
          <text:span text:style-name="Definition">Molinia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Fytocenologický původ</text:p>
      <text:p text:style-name="Definition_20_Definition_20_Tight">Původní druh roste na vlhkých loukách a na okrajích lesa; domácí druh; kultivar K. Partsch (1977)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na zimu odumírá, na jaře je nutné seřezat celý trs těsně nad zemí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tráva; trs mohutný - v listu 50 - 70 cm, v květu 180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široce vejířovitě uspořádaná, tenká, hladká, s jedním kolénkem u báze</text:p>
      <text:p text:style-name="Definition_20_Term_20_Tight">Listy</text:p>
      <text:p text:style-name="Definition_20_Definition_20_Tight">svěže zelené, asi 50 cm dlouhé a 1 cm široké, přibližně od poloviny převísající až k zemi.</text:p>
      <text:p text:style-name="Definition_20_Term_20_Tight">Květenství</text:p>
      <text:p text:style-name="Definition_20_Definition_20_Tight">velmi jemné a velmi řídké laty, dlouhé až 70 cm, široké 10 cm jsou na stéblech vysoko nad listami. Laty s nádechem do fialova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jako ´Windspiel´. Od ní se liší jemnějším, lehčím a delším květenstvím.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na začátku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plném slunci potřebuje dostatek vláhy</text:p>
      <text:p text:style-name="Definition_20_Term_20_Tight">Faktor tepla</text:p>
      <text:p text:style-name="Definition_20_Definition_20_Tight">spolehlivě mrazuvzdorná; někdy mohou pozdní mrazíky poškozovat narašené listy</text:p>
      <text:p text:style-name="Definition_20_Term_20_Tight">Faktor vody</text:p>
      <text:p text:style-name="Definition_20_Definition_20_Tight">vlhké, svěží půdy; suché zahradní půdy toleruje - dorůstá menších rozměrů</text:p>
      <text:p text:style-name="Definition_20_Term_20_Tight">Faktor půdy</text:p>
      <text:p text:style-name="Definition_20_Definition_20_Tight">humózní, živné zahradní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jara dalšího roku; jemnou textura, pohyb stébel ve větru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uplatnění. Krásná solitéra, možnost použití i ve skupinách.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velmi jemná textura, pohyb stébel ve větru, barevná proměnlivost taxonu v průběhu roka - na podzim vybarvuje do intenzivní zlatožluté barvy</text:p>
      <text:p text:style-name="Definition_20_Term_20_Tight">Doporučený spon pro výsadbu</text:p>
      <text:p text:style-name="Definition_20_Definition_20_Tight">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brzy na jaře před rašením. Původní druh lze množit ze semen - musí projít obdobím chladu.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(A2)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(SK33)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1998</text:p>
      <text:p text:style-name="Definition_20_Term_20_Tight">Výsev/výsadba na stanoviště - podrobnějsí popis</text:p>
      <text:p text:style-name="Definition_20_Definition_20_Tight">SK33 - 1998; A2 - 2010</text:p>
      <text:p text:style-name="Definition_20_Term_20_Tight">Dodavatel</text:p>
      <text:p text:style-name="Definition_20_Definition_20_Tight">SK33 - původ neznámý; A2 - přemnožená z SK33</text:p>
      <text:h text:style-name="Heading_20_4" text:outline-level="4">Grafické přílohy</text:h>
      <text:p text:style-name="First_20_paragraph">
        <text:a xlink:type="simple" xlink:href="http://ww.taxonweb.cz/media/W1siZiIsIjIwMTMvMTAvMjIvMThfMjdfMDNfODI1X0t1dGtvdmFfTW9saW5pYV9hcnVuZGluYWNlYV9UcmFuc3BhcmVudF8uanBnIl1d?sha=05d61bd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