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Chardonnay</text:h>
      <text:p text:style-name="Definition_20_Term_20_Tight">Název taxonu</text:p>
      <text:p text:style-name="Definition_20_Definition_20_Tight">Vitis vinifera Chardonnay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´Chardonnay´ (Ch, Char)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Chardonnay, Feher Chardonnay, Shardone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pravděpodobně volným opylením odrůdy ´Rulandské šedé´ s odrůdou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naznačenými výkroji, bazální výkroj je úzce otevřený, u dospělých listů na obou stranách ohraničený cévou; povrch listu je tmavě zelený,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 (někdy u báze křídlatý), středně hustý;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od kterého se liší řapíkovým otevřeným výkrojem, první hlavní listové nervy ohraničují tento výkroj až k prvnímu rozvětvení tak, že směrem k okraji listu jsou holé, bez listového pletiva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PO-155/6, PO-156/4, PO-160/1, PO-161/6</text:p>
      <text:p text:style-name="Definition_20_Term_20_Tight">Popis vína</text:p>
      <text:p text:style-name="Definition_20_Definition_20_Tight">víno je podobné ´Rulandskému bílému´, je však plnější i aromatičtější; vůně po subtropických plodech manga až ananasu; v chuti často tň po lískových oříšcích</text:p>
      <text:p text:style-name="Definition_20_Term_20_Tight">Doporučená technologie vína</text:p>
      <text:p text:style-name="Definition_20_Definition_20_Tight">jakostní a přívlastková bílá vína, barrique,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NDVfNzYxX3NvdG9sYXJfVml0aXNfdmluaWZlcmFfY2hhcmRvbm5heV9saXN0X2RldGFpbF92eWtyb2plLmpwZyJdXQ?sha=b06ff29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NDZfODlfc290b2xhcl9WaXRpc192aW5pZmVyYV9jaGFyZG9ubmF5X19saXN0LmpwZyJdXQ?sha=9cacff6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NDZfMzcwX1NvdG9sYXJfVml0aXNfdmluaWZlcmFfY2hhcmRvbm5heV9jZWxrb3ZhLmpwZyJdXQ?sha=17fb74d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NfNDZfNTczX3NvdG9sYXJfVml0aXNfdmluaWZlcmFfY2hhcmRvbm5heV9ocm96ZW4uanBnIl1d?sha=16fa5a3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