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Matricaria recutita</text:h>
      <text:p text:style-name="Definition_20_Term_20_Tight">Název taxonu</text:p>
      <text:p text:style-name="Definition_20_Definition_20_Tight">Matricaria recutita</text:p>
      <text:p text:style-name="Definition_20_Term_20_Tight">Vědecký název taxonu</text:p>
      <text:p text:style-name="Definition_20_Definition_20_Tight">Matricaria recutita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heřmánek pravý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0" office:name="">
          <text:span text:style-name="Definition">Chamomilla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Přední Asie, jižní a jihovýchodní Evropa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vysoká 0,10 - 0,9 m</text:p>
      <text:p text:style-name="Definition_20_Term_20_Tight">Kořen</text:p>
      <text:p text:style-name="Definition_20_Definition_20_Tight">kořenový systém bohatý, hlavný kořen je krátký, postupně se větví do hloubky a šířky vláknitými kořeny</text:p>
      <text:p text:style-name="Definition_20_Term_20_Tight">Listy</text:p>
      <text:p text:style-name="Definition_20_Definition_20_Tight">zpočátku v přízemní růžici, 2 - 3 x peženosečné s úkrojky nitkovitými</text:p>
      <text:p text:style-name="Definition_20_Term_20_Tight">Květenství</text:p>
      <text:p text:style-name="Definition_20_Definition_20_Tight">úbor, jednotlivé úbory vyrůstají na konci větví</text:p>
      <text:p text:style-name="Definition_20_Term_20_Tight">Květy</text:p>
      <text:p text:style-name="Definition_20_Definition_20_Tight">květní lůžko duté, jazykovité květy samičí, trubkovité obojaké, spirálovité uspořádané</text:p>
      <text:p text:style-name="Definition_20_Term_20_Tight">Plody</text:p>
      <text:p text:style-name="Definition_20_Definition_20_Tight">nažka, drobná, hnědá</text:p>
      <text:h text:style-name="Heading_20_4" text:outline-level="4">Doba zrání</text:h>
      <text:p text:style-name="Definition_20_Term_20_Tight">Doba zrání - poznámka</text:p>
      <text:p text:style-name="Definition_20_Definition_20_Tight">40 - 70 dní až 120 dní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bramborářský výrobní typ</text:p>
      <text:p text:style-name="Definition_20_Term_20_Tight">Faktor vody</text:p>
      <text:p text:style-name="Definition_20_Definition_20_Tight">450 - 650 mm</text:p>
      <text:p text:style-name="Definition_20_Term_20_Tight">Faktor půdy</text:p>
      <text:p text:style-name="Definition_20_Definition_20_Tight">hlinitopísčité, pH neutrální až alkalické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