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Solidago ×lutea</text:h>
      <text:p text:style-name="Definition_20_Term_20_Tight">Název taxonu</text:p>
      <text:p text:style-name="Definition_20_Definition_20_Tight">Solidago ×lutea</text:p>
      <text:p text:style-name="Definition_20_Term_20_Tight">Vědecký název taxonu</text:p>
      <text:p text:style-name="Definition_20_Definition_20_Tight">Solidago ×lutea</text:p>
      <text:p text:style-name="Definition_20_Term_20_Tight">Jména autorů, kteří taxon popsali</text:p>
      <text:p text:style-name="Definition_20_Definition_20_Tight">
        <text:a xlink:type="simple" xlink:href="/taxon-authors/856" office:name="">
          <text:span text:style-name="Definition">(M.L.Green) Brouillet &amp; Semple</text:span>
        </text:a>
      </text:p>
      <text:p text:style-name="Definition_20_Term_20_Tight">Odrůda</text:p>
      <text:p text:style-name="Definition_20_Definition_20_Tight">´Lemore´</text:p>
      <text:p text:style-name="Definition_20_Term_20_Tight">Český název</text:p>
      <text:p text:style-name="Definition_20_Definition_20_Tight">zlatobýl žlutý</text:p>
      <text:p text:style-name="Definition_20_Term_20_Tight">Synonyma (zahradnicky používaný název)</text:p>
      <text:p text:style-name="Definition_20_Definition_20_Tight">x Solidaster luteus M.L.Green; x Asterago lutea Everett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737" office:name="">
          <text:span text:style-name="Definition">Echinacea pallida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zahradní hybrid - uvedené fytochoriony odpovídají rodičovským taxonům (Solidago ptarmicoides Boivin a S. rigida L. z podrodu Oligoneuron)</text:p>
      <text:h text:style-name="Heading_20_4" text:outline-level="4">Zařazení</text:h>
      <text:p text:style-name="Definition_20_Term_20_Tight">Fytocenologický původ</text:p>
      <text:p text:style-name="Definition_20_Definition_20_Tight">zahradní hybrid; rodičovské taxony rostou na vysýchavých písčinách, prériích a narušených půdách (psammofyt, psilofyt, chledofyt)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Za - záhonová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vzpřímená trvalka, 0.6-0.8 m vysoká</text:p>
      <text:p text:style-name="Definition_20_Term_20_Tight">Kořen</text:p>
      <text:p text:style-name="Definition_20_Definition_20_Tight">adventivní kořeny z podzemních oddenků</text:p>
      <text:p text:style-name="Definition_20_Term_20_Tight">Výhony</text:p>
      <text:p text:style-name="Definition_20_Definition_20_Tight">přímé, pýřité</text:p>
      <text:p text:style-name="Definition_20_Term_20_Tight">Listy</text:p>
      <text:p text:style-name="Definition_20_Definition_20_Tight">střídavé, až 0.1 m dlouhé, přisedle kopinaté, mělce zubaté, sivozelené, kratičce pýřité a roztroušeně žláznaté</text:p>
      <text:p text:style-name="Definition_20_Term_20_Tight">Květenství</text:p>
      <text:p text:style-name="Definition_20_Definition_20_Tight">relativně veliké (přes 10 mm) úbory s 12-25 žlutými paprsky, seřazené v plochých latách</text:p>
      <text:p text:style-name="Definition_20_Term_20_Tight">Květy</text:p>
      <text:p text:style-name="Definition_20_Definition_20_Tight">různoobalné (kalichy přeměněny v šupiny a štětinky), srostloplátečné, pětičetné, haplostemonické - kvítky disku koleomorfní, oboupohlavné, žluté; paprsky souměrné, drobné, plodné (samičí),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cylindrické nažky s přetrvávajícím štětinkatým chmýrem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svérázný hybrid stěží zaměnitelný s jinými druhy skupiny Oligoneuron včetně taxonů rodičovských - Solidago ptarmicoides (Torr.&amp; Gray) Boivin má lineární listy a smetanově bílé úbory s 10-20 paprsky, Solidago rigida L. má listy široce vejčité, hustě pýřité a úbory s 6-12 drobnými, sytě žlutými paprsky.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kulturách k řezu po výsadbě dlouhý den14 h 100-200 lux, poté krátkodenní cykly do 10 h (6-8 týdnů)</text:p>
      <text:p text:style-name="Definition_20_Term_20_Tight">Faktor tepla</text:p>
      <text:p text:style-name="Definition_20_Definition_20_Tight">mrazuvzdorná údajně do -28°C (USDA); teploty ve skleníkových kulturách po výsadbě 18°C/16°C</text:p>
      <text:p text:style-name="Definition_20_Term_20_Tight">Faktor vody</text:p>
      <text:p text:style-name="Definition_20_Definition_20_Tight">nezbytná instalace závlah (vysoké požadavky na živiny a vodu zejména v dubnu a květnu při elongaci květních stonků)</text:p>
      <text:p text:style-name="Definition_20_Term_20_Tight">Faktor půdy</text:p>
      <text:p text:style-name="Definition_20_Definition_20_Tight">přizpůsobivá v provzdušněných, spíše neutrálních (pH 6.0 - 7.5) půdách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´Lemore´ oceněná AGM (1993); průměrně a podprůměrně hodnoceny jiné taxony skupiny Oligoneuron (S. riddellii, S. ohioensis)</text:p>
      <text:p text:style-name="Definition_20_Term_20_Tight">Choroby a škůdci</text:p>
      <text:p text:style-name="Definition_20_Definition_20_Tight">z nejvýznamnějších ascomycety (Erysiphe, Sclerotium, Coleosporium, Phyllachora, Elsinoe) a rzi (Coleosporium, Puccinia); ze škůdců mšice (Aulacorthum, Masonaphis), síťnatky (Corythucha), vrtalky (Liriomyza, Nemorimyza), květilky (Botanophila, Pegohylemyia), obaleči, píďalky, pilatky, pernatušky a jiní motýli (Argyrotaenia, Eupithecia, Ourapteryx, Leioptilus, Pachyprotasis, Coleophora)</text:p>
      <text:p text:style-name="Definition_20_Term_20_Tight">Doporučený spon pro výsadbu</text:p>
      <text:p text:style-name="Definition_20_Definition_20_Tight">v parkových výsadbách tři až čtyři rostliny na m2; skleníkové výsadby pro řez květů 28-32 rostlin na m2, pro opakovanou sklizeň i 16 rostlin na m2 (odpovídá výnosu asi sta kvetoucích stonků z m2)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 a Dělení trsů</text:p>
      <text:p text:style-name="Definition_20_Term_20_Tight">Konečné hrnky</text:p>
      <text:p text:style-name="Definition_20_Definition_20_Tight">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krátkodenní rostliny</text:p>
      <text:p text:style-name="Definition_20_Term_20_Tight">Reakční doba</text:p>
      <text:p text:style-name="Definition_20_Definition_20_Tight">6-8 týdnů</text:p>
      <text:p text:style-name="Definition_20_Term_20_Tight">Doba kultivace</text:p>
      <text:p text:style-name="Definition_20_Definition_20_Tight">venkovní kultury k řezu nejvýše tři roky</text:p>
      <text:p text:style-name="Definition_20_Term_20_Tight">Odrůdy</text:p>
      <text:p text:style-name="Definition_20_Definition_20_Tight">snad jen bledě žlutá ´Lemore´, prodávaná po řadou obchodních jmen (´Talla´, ´Total´, ´Samarin´) a zlatožlutá ´Goldentop´</text:p>
      <text:h text:style-name="Heading_20_4" text:outline-level="4">Ostatní</text:h>
      <text:p text:style-name="Definition_20_Term_20_Tight">VBN statistiky</text:p>
      <text:p text:style-name="Definition_20_Definition_20_Tight">Prostřednictvím VBN je ročně prodáváno přes 50 milionů kvetoucích stonků Solidago (2010: 6 667 000 eur - 9. pozice mezi řezanými květinami). Kdysi významný "Solidaster" však mezi nejprodávanějšími pěti odrůdami, představujícími 97% obratu, dávno není.</text:p>
      <text:p text:style-name="Definition_20_Term_20_Tight">Poznámka</text:p>
      <text:p text:style-name="Definition_20_Definition_20_Tight">Solidago ptarmicoides (Torr.&amp; Gr.) Boiv. bylo donedávna vedeno v rodu Aster, hybridy se proto častěji dosud pěstují pod jménem x Solidaster luteus (Everett) Green. Pod tímto jménem bývaly shrnovány též hybridy S. ptarmicoies s blízkými S. riddellii Frank a S. ohioensis Riddell, rozpoznávané dnes jako S. x bernardii Boiv. a S. x krotkowii Boiv.</text:p>
      <text:p text:style-name="Definition_20_Term">Odkazy</text:p>
      <text:list text:style-name="L1">
        <text:list-item>
          <text:p text:style-name="P1">Nesom G.L. (1993): Status of the intergeneric hybrid x Solidaster. Phytologia 75(1): 30-32.; Flórez V.J., Pereira M.F. (1999): Relationship between cytokinins and photoperiod in floral development of Solidago luteus. ISHS Acta Horticulturae 482; Opatrná</text:p>
        </text:list-item>
        <text:list-item>
          <text:p text:style-name="P1">SCHMIDT Cassian. Solidago fur den Garten (Teil 1). Wildes Gold. Gartenpraxis. Stuttgart: Eugen Ulmer. 2016, roč.42, č. 9, s. 8 - 15. ISSN 0341-2105.</text:p>
        </text:list-item>
        <text:list-item>
          <text:p text:style-name="P1">SCHMIDT Cassian. Solidago fur den Garten (Teil 2). Goldruten ganz handzahm. Gartenpraxis. Stuttgart: Eugen Ulmer. 2016, roč.42, č. 10 s. 8 - 15.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TAvMjIvMThfMjNfMzZfOTEyX19VaGVyX1NvbGlkYWdvX3hfbHV0ZWFfVGFsbGEuSlBHIl1d?sha=ee79344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NfMzdfMzAxX19VaGVyX1NvbGlkYWdvX3B0YXJtaWNvaWRlc19vZGR5X2xreS5KUEciXV0?sha=efe019f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TAvMjIvMThfMjNfMzdfNjE0X19VaGVyX1NvbGlkYWdvX3B0YXJtaWNvaWRlcy5KUEciXV0?sha=f664a8e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TAvMjIvMThfMjNfMzdfOTI4X19VaGVyX1NvbGlkYWdvX3JpZ2lkYS5KUEciXV0?sha=1444a485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TAvMjIvMThfMjNfMzhfMjQ2X19VaGVyX1NvbGlkYWdvX3JpZGRlbGxpaS5KUEciXV0?sha=08ae7c2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TAvMjIvMThfMjNfMzhfNTU5X19VaGVyX1NvbGlkYWdvX3hfbHV0ZWFfT19MZW1vcmVPXy5KUEciXV0?sha=c8eeed7a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