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Vostorg</text:h>
      <text:p text:style-name="Definition_20_Term_20_Tight">Název taxonu</text:p>
      <text:p text:style-name="Definition_20_Definition_20_Tight">Vitis vinifera Vostorg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´Vostorg´ (Vo)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(´Zarja severa´ x ´Dolores´) x ´Russkij rannyj´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šedohnědé, dobře vyzrávající</text:p>
      <text:p text:style-name="Definition_20_Term_20_Tight">Pupeny</text:p>
      <text:p text:style-name="Definition_20_Definition_20_Tight">středně velké až velké, zašpičatělé</text:p>
      <text:p text:style-name="Definition_20_Term_20_Tight">Listy</text:p>
      <text:p text:style-name="Definition_20_Definition_20_Tight">velké, výrazně pěti i vícelaločnaté, řapíkový výkrojek je lyrovitý, překrytý; čepel listu je pokroucená, lehce vrásčitá, vespod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volnější hrozen; bobule je velká až velmi velká, oválná, zelenožlutá, při přezrání s hnědavým líčkem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suché a písčité půdy</text:p>
      <text:p text:style-name="Definition_20_Term_20_Tight">Faktor půdy</text:p>
      <text:p text:style-name="Definition_20_Definition_20_Tight">nejlépe 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bílá odrůda - přímý konzum</text:p>
      <text:p text:style-name="Definition_20_Term_20_Tight">Choroby a škůdci</text:p>
      <text:p text:style-name="Definition_20_Definition_20_Tight">odolná k houbovým chorobám, sprchává</text:p>
      <text:p text:style-name="Definition_20_Term_20_Tight">Plodnost</text:p>
      <text:p text:style-name="Definition_20_Definition_20_Tight">ranější,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ovocné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NDVfNDk0X1NvdG9sYXJfVml0aXNfdmluaWZlcmFfdm9zdG9yZ19ocm96ZW4uSlBHIl1d?sha=3df98d6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NDVfNjkzX1NvdG9sYXJfVml0aXNfdmluaWZlcmFfdm9zdG9yZ19jZWxrb3ZhLkpQRyJdXQ?sha=8c1ae03f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NDVfOTk1X1NvdG9sYXJfVml0aXNfdmluaWZlcmFfdm9zdG9yZ19saXN0LmpwZyJdXQ?sha=ab8f60e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RfNDZfMTM2X1NvdG9sYXJfVml0aXNfdmluaWZlcmFfdm9zdG9yZ19wcmV6cmFseS5KUEciXV0?sha=b028be8b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