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Crataegus monogyna</text:h>
      <text:p text:style-name="Definition_20_Term_20_Tight">Název taxonu</text:p>
      <text:p text:style-name="Definition_20_Definition_20_Tight">Crataegus monogyna</text:p>
      <text:p text:style-name="Definition_20_Term_20_Tight">Vědecký název taxonu</text:p>
      <text:p text:style-name="Definition_20_Definition_20_Tight">Crataegus monogyna</text:p>
      <text:p text:style-name="Definition_20_Term_20_Tight">Jména autorů, kteří taxon popsali</text:p>
      <text:p text:style-name="Definition_20_Definition_20_Tight">
        <text:a xlink:type="simple" xlink:href="/taxon-authors/364" office:name="">
          <text:span text:style-name="Definition">Jacq.</text:span>
        </text:a>
      </text:p>
      <text:p text:style-name="Definition_20_Term_20_Tight">Český název</text:p>
      <text:p text:style-name="Definition_20_Definition_20_Tight">hloh jednosemenný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9" office:name="">
          <text:span text:style-name="Definition">Crataegus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SA), oblast Sierra Madre (jihozápad SA), Severoamerická atlantická oblast (východ SA), Atlanticko-eurosibiřská oblast a Iránsko-turanská oblast</text:p>
      <text:p text:style-name="Definition_20_Term_20_Tight">Biogeografické regiony - poznámka</text:p>
      <text:p text:style-name="Definition_20_Definition_20_Tight">Evropa, Malá Asie, S Amerika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nebo menší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strnule rozložitý keř nebo menší strom (8 m)</text:p>
      <text:p text:style-name="Definition_20_Term_20_Tight">Výhony</text:p>
      <text:p text:style-name="Definition_20_Definition_20_Tight">výhony s trny 5-25 mm, letorosty lysé a červenohnědé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široce vejčité až kosočtverečné, hluboce 3-7laločné, tmavě zelené, rub modrozelený</text:p>
      <text:p text:style-name="Definition_20_Term_20_Tight">Květenství</text:p>
      <text:p text:style-name="Definition_20_Definition_20_Tight">květy v chocholičnatých latách po 6–18</text:p>
      <text:p text:style-name="Definition_20_Term_20_Tight">Květy</text:p>
      <text:p text:style-name="Definition_20_Definition_20_Tight">květy bílé s 1 čnělkou, 8-15 mm široké</text:p>
      <text:p text:style-name="Definition_20_Term_20_Tight">Plody</text:p>
      <text:p text:style-name="Definition_20_Definition_20_Tight">malvička s 1 semenem</text:p>
      <text:p text:style-name="Definition_20_Term_20_Tight">Kůra a borka</text:p>
      <text:p text:style-name="Definition_20_Definition_20_Tight">borka tmavě hnědá či šedá a podélně rozpukaná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až do oblasti IV</text:p>
      <text:p text:style-name="Definition_20_Term_20_Tight">Faktor vody</text:p>
      <text:p text:style-name="Definition_20_Definition_20_Tight">velmi suchovzdorný, ne do lužníh poloh</text:p>
      <text:p text:style-name="Definition_20_Term_20_Tight">Faktor půdy</text:p>
      <text:p text:style-name="Definition_20_Definition_20_Tight">nenáročný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květ V-VI</text:p>
      <text:p text:style-name="Definition_20_Term_20_Tight">Použití</text:p>
      <text:p text:style-name="Definition_20_Definition_20_Tight">vhodný jako solitera nebo do skupin keřů</text:p>
      <text:h text:style-name="Heading_20_4" text:outline-level="4">Množení</text:h>
      <text:p text:style-name="Definition_20_Term_20_Tight">Množení</text:p>
      <text:p text:style-name="Definition_20_Definition_20_Tight">Předpěstování sadby a Očkování</text:p>
      <text:p text:style-name="Definition_20_Term_20_Tight">Množení - poznámka</text:p>
      <text:p text:style-name="Definition_20_Definition_20_Tight">vzácné druhy či kultivary lze naočkovat na podnož základního druhu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