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Cotoneaster multiflorus</text:h>
      <text:p text:style-name="Definition_20_Term_20_Tight">Název taxonu</text:p>
      <text:p text:style-name="Definition_20_Definition_20_Tight">Cotoneaster multiflorus</text:p>
      <text:p text:style-name="Definition_20_Term_20_Tight">Vědecký název taxonu</text:p>
      <text:p text:style-name="Definition_20_Definition_20_Tight">Cotoneaster multiflorus</text:p>
      <text:p text:style-name="Definition_20_Term_20_Tight">Jména autorů, kteří taxon popsali</text:p>
      <text:p text:style-name="Definition_20_Definition_20_Tight">
        <text:a xlink:type="simple" xlink:href="/taxon-authors/391" office:name="">
          <text:span text:style-name="Definition">Bunge</text:span>
        </text:a>
      </text:p>
      <text:p text:style-name="Definition_20_Term_20_Tight">Český název</text:p>
      <text:p text:style-name="Definition_20_Definition_20_Tight">skalník mnohokvětý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6" office:name="">
          <text:span text:style-name="Definition">Cotoneaster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Iránsko-turanská oblast a Čínsko-japonská oblast</text:p>
      <text:p text:style-name="Definition_20_Term_20_Tight">Biogeografické regiony - poznámka</text:p>
      <text:p text:style-name="Definition_20_Definition_20_Tight">Čína, Rusko, střední a západní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široce rozkladitý keř, větve obloukovitě odstávající, výška 1-5 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3-10 mm, čepel vejčitá až široce vejčitá nebo eliptická, 15-50 mm dlouhá, na rubu v mládí chlupatá, svrchu lysá a živě zelená, vrcholek špičatý nebo tupý</text:p>
      <text:p text:style-name="Definition_20_Term_20_Tight">Květenství</text:p>
      <text:p text:style-name="Definition_20_Definition_20_Tight">chocholík, 5-21 květů</text:p>
      <text:p text:style-name="Definition_20_Term_20_Tight">Květy</text:p>
      <text:p text:style-name="Definition_20_Definition_20_Tight">květy mají 10-12 mm v průměru, tyčinek asi 20, páchne</text:p>
      <text:p text:style-name="Definition_20_Term_20_Tight">Plody</text:p>
      <text:p text:style-name="Definition_20_Definition_20_Tight">plody (purpurově) červené, 5-12 mm v průměru, bohatě plodí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I-III, velmi otužilý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celou vegetační sezónu</text:p>
      <text:p text:style-name="Definition_20_Term_20_Tight">Použití</text:p>
      <text:p text:style-name="Definition_20_Definition_20_Tight">vhodný jako solitera či do skupin keřů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