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Kohleria tubiflora</text:h>
      <text:p text:style-name="Definition_20_Term_20_Tight">Název taxonu</text:p>
      <text:p text:style-name="Definition_20_Definition_20_Tight">Kohleria tubiflora</text:p>
      <text:p text:style-name="Definition_20_Term_20_Tight">Vědecký název taxonu</text:p>
      <text:p text:style-name="Definition_20_Definition_20_Tight">Kohleria tubiflora</text:p>
      <text:p text:style-name="Definition_20_Term_20_Tight">Jména autorů, kteří taxon popsali</text:p>
      <text:p text:style-name="Definition_20_Definition_20_Tight">
        <text:a xlink:type="simple" xlink:href="/taxon-authors/401" office:name="">
          <text:span text:style-name="Definition">(Cavanilles) Hanstein (1865; 1801...</text:span>
        </text:a>
      </text:p>
      <text:p text:style-name="Definition_20_Term_20_Tight">Synonyma (zahradnicky používaný název)</text:p>
      <text:p text:style-name="Definition_20_Definition_20_Tight">Kohleria picta (Hook.) Hanstein, Kohleria colorata Hanst.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bogotensis (Nichols.) Kvist &amp; Skog</text:p>
      <text:p text:style-name="Definition_20_Term_20_Tight">Nadřazená kategorie</text:p>
      <text:p text:style-name="Definition_20_Definition_20_Tight">
        <text:a xlink:type="simple" xlink:href="/t/2605" office:name="">
          <text:span text:style-name="Definition">Kohleria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Nikaragui do Kolumbie a Venezuely</text:p>
      <text:h text:style-name="Heading_20_4" text:outline-level="4">Zařazení</text:h>
      <text:p text:style-name="Definition_20_Term_20_Tight">Fytocenologický původ</text:p>
      <text:p text:style-name="Definition_20_Definition_20_Tight">kremnofyt, petrochtofyt, chledofyt - pobřežní útesy, kamenité břehy potoků, narušená stanoviště, z nížiny k 1300 m do hor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nevětvené, vzpřímené až poléhavé, příležitostně přepadavé, vstřícně olistěné byliny se stonky 0.2 - 2.0 m dlouhými</text:p>
      <text:p text:style-name="Definition_20_Term_20_Tight">Kořen</text:p>
      <text:p text:style-name="Definition_20_Definition_20_Tight">nitkovité kořeny z oddenků pokrytých masitými šupinami</text:p>
      <text:p text:style-name="Definition_20_Term_20_Tight">Výhony</text:p>
      <text:p text:style-name="Definition_20_Definition_20_Tight">nevětvené, vstřícně olistěné, bledě zelené, měkce pýřité</text:p>
      <text:p text:style-name="Definition_20_Term_20_Tight">Listy</text:p>
      <text:p text:style-name="Definition_20_Definition_20_Tight">řapíkaté, vejčitě kopinaté, shora hrubě, vespod měkce pýřité</text:p>
      <text:p text:style-name="Definition_20_Term_20_Tight">Květenství</text:p>
      <text:p text:style-name="Definition_20_Definition_20_Tight">krátké, nanejvýš pětikvěté hrozny z paždí listů, seskládané v latnaté soukvětí</text:p>
      <text:p text:style-name="Definition_20_Term_20_Tight">Květy</text:p>
      <text:p text:style-name="Definition_20_Definition_20_Tight">souměrné, různoobalné, pětičetné se čtyřmi plodnými tyčinkami, srostloplátečné s cylindrickými, červenožlutými, vně hedvábitě vlnatými trubkami a drobnými, žlutými, červeně skvrnitými laloky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dvouchlopňová vejčitá tobolka velikosti hrachu (bez okrasné hodnoty)</text:p>
      <text:p text:style-name="Definition_20_Term_20_Tight">Semena</text:p>
      <text:p text:style-name="Definition_20_Definition_20_Tight">drobná, okrouhláí, podélně proužkovaná</text:p>
      <text:p text:style-name="Definition_20_Term_20_Tight">Možnost záměny taxonu (+ rozlišující rozhodný znak)</text:p>
      <text:p text:style-name="Definition_20_Definition_20_Tight">svérázný, stěží zaměnitelný taxon habituelně blízký K. spicata (Kunth) Oerst. (liší se kratšími květy s většími laloky); nápadně vyvinuté petaly mají i hybridy s účastí K. hirsuta (např. ´Regent´)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celoročně, méně však v suchém období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16-32 klux, toleruje až 48 klux, k udržení kvality v bytech nejméně 4-6 klux, lépe prospívá v pkenních truhlících</text:p>
      <text:p text:style-name="Definition_20_Term_20_Tight">Faktor tepla</text:p>
      <text:p text:style-name="Definition_20_Definition_20_Tight">skladování rhizomů 16°C-20°C až tři měsíce; narašení rhizomů 20°C-24°C; řízkování 20°C-22°C; po zakořenění 16°C-18°C/14°C (v období tvorby květů 18°C-22°C), od 24°C větrat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např. baltská rašelina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Myrothecium, Oidium, Botryotonia, Rhizoctonia, Phytophthora, Cylidrocarpum, Fusarium); ze škůdců mšice (Idiopterus, Macrosiphium), třásněnky (Thrips), molice (Trialeurodes), štítenky (Pulvinaria), roztoči (Polyphagotarsonemus), háďátka (Trichodorus, Scutellonema)</text:p>
      <text:p text:style-name="Definition_20_Term_20_Tight">Doporučený spon pro výsadbu</text:p>
      <text:p text:style-name="Definition_20_Definition_20_Tight">produkce: narašení rhizomů 600-800 /m2; 8-9 cm hrnky až 120 /m2; konečné rozestavění dle odrůdy 30-40 rostlin /m2</text:p>
      <text:h text:style-name="Heading_20_4" text:outline-level="4">Množení</text:h>
      <text:p text:style-name="Definition_20_Term_20_Tight">Množení</text:p>
      <text:p text:style-name="Definition_20_Definition_20_Tight">Řízkování, Listové řízky, Vrcholové řízky, Osní řízky a „in vitro“ (mikropropagace)</text:p>
      <text:p text:style-name="Definition_20_Term_20_Tight">Množení - poznámka</text:p>
      <text:p text:style-name="Definition_20_Definition_20_Tight">množení rhizomy: v prosinci, nevyrovnané rašení, jen pro odběr řízků od března do června; listové řízky: pouze k produkci rhizomů; výjimečně i oddrolené šupiny z rhizomů - při nedostatku množitelského materiálu</text:p>
      <text:p text:style-name="Definition_20_Term_20_Tight">Mezihrnky</text:p>
      <text:p text:style-name="Definition_20_Definition_20_Tight">2-3 cm multiplata (přepichování z výsevů) nebo 5 cm hrnky s jedním řízkem u zaštipovaných kultur (též konečné hrnky pro miniplanten)</text:p>
      <text:p text:style-name="Definition_20_Term_20_Tight">Konečné hrnky</text:p>
      <text:p text:style-name="Definition_20_Definition_20_Tight">8-10 cm hrnky dle vzrůstu odrůdy (tři řízky nebo 3-5 rostlin z multiplat)</text:p>
      <text:p text:style-name="Definition_20_Term_20_Tight">Retardace</text:p>
      <text:p text:style-name="Definition_20_Definition_20_Tight">daminozid 0.1%-0.2% (u nás nyní nepovolen), chlormequat 0.3% - dle potřeby u vzrůstnějších odrůd po 8-10 dnech opakovat</text:p>
      <text:p text:style-name="Definition_20_Term_20_Tight">Reakční doba</text:p>
      <text:p text:style-name="Definition_20_Definition_20_Tight">exaktní data dosud neprověřena</text:p>
      <text:p text:style-name="Definition_20_Term_20_Tight">Doba kultivace</text:p>
      <text:p text:style-name="Definition_20_Definition_20_Tight">z řízků v 10 cm hrnkách kvetoucí rostliny do 4-7 měsíců, malé rostliny v 6-8cm hrnkách 6-8 týdnů</text:p>
      <text:p text:style-name="Definition_20_Term_20_Tight">Odrůdy</text:p>
      <text:p text:style-name="Definition_20_Definition_20_Tight">četné hybridy s nepříbuznou Kohleria warszewiczii (Regel) Hanst.- tzv. "Sciadotyadea-hybridy" (´Strawberry Fields´, Lucky Lucifer´, ´Leopard´, ´Beltane´, ´Linternita´, ´Geen Goblin´, ´Orange Glow´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obrat na VBN zanedbatelný: r.2005 jen asi 55 tisíc prodaných hrnků (meziroční propad 5%) s obratem 38 tis.eur; 2010 nezaznamenána</text:p>
      <text:p text:style-name="Definition_20_Term">Odkazy</text:p>
      <text:list text:style-name="L2">
        <text:list-item>
          <text:p text:style-name="P2">Kvist L.P., Skog P.: Revision of Kohleria. Smithsonian Contribution to Botany 79: 1-72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NDJfODM2X19VaGVyX0tvaGxlcmlhX3R1YmlmbG9yYV9rdl90LkpQRyJdXQ?sha=4845cfb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JfNDNfMjI4X19VaGVyX0tvaGxlcmlhX3R1YmlmbG9yYS5KUEciXV0?sha=9d885e8a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