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´Produkta´</text:h>
      <text:p text:style-name="Definition_20_Term_20_Tight">Název taxonu</text:p>
      <text:p text:style-name="Definition_20_Definition_20_Tight">Grossularia uva crispa ´Produkta´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´Produkta´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semenáč neznámé odrůdy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hustý, strom: kulovitý se středně velkou a hustou korunou</text:p>
      <text:p text:style-name="Definition_20_Term_20_Tight">Pupeny</text:p>
      <text:p text:style-name="Definition_20_Definition_20_Tight">vejčitého tvaru, středně velké, světle hnědé, od letorostu mírně odstávají</text:p>
      <text:p text:style-name="Definition_20_Term_20_Tight">Listy</text:p>
      <text:p text:style-name="Definition_20_Definition_20_Tight">středně velké až velké, hladké, světlejší zelené barvy, lesklé</text:p>
      <text:p text:style-name="Definition_20_Term_20_Tight">Květy</text:p>
      <text:p text:style-name="Definition_20_Definition_20_Tight">obojetné, pětičetné, korunní plátky středně velké,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oválné až široce vejčité, středně velké až menší (5,2 g), matně bronzově žlutozelené, lysé</text:p>
      <text:p text:style-name="Definition_20_Term_20_Tight">Možnost záměny taxonu (+ rozlišující rozhodný znak)</text:p>
      <text:p text:style-name="Definition_20_Definition_20_Tight">Kulovitá, poměrně hustá koruna, slabší jednoleté výhony, bronzově žlutozelený plod s dobře znatelnou bělavě zelenou žilnatinou, menší velikosti.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24. dubna do 8. května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tepla</text:p>
      <text:p text:style-name="Definition_20_Definition_20_Tight">vhodná do průměrných pěstitelských oblastí, mrazy snáší dobře</text:p>
      <text:p text:style-name="Definition_20_Term_20_Tight">Faktor půdy</text:p>
      <text:p text:style-name="Definition_20_Definition_20_Tight">nejlépe lehké, humózní, středně vlhké půdy</text:p>
      <text:h text:style-name="Heading_20_4" text:outline-level="4">Agrotechnické vlastnosti a požadavky</text:h>
      <text:p text:style-name="Definition_20_Term_20_Tight">Řez</text:p>
      <text:p text:style-name="Definition_20_Definition_20_Tight">vysoce náročná na řez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středně odolná proti padlí i antraknóze</text:p>
      <text:p text:style-name="Definition_20_Term_20_Tight">Růstové i jiné druhově specifické vlastnosti</text:p>
      <text:p text:style-name="Definition_20_Definition_20_Tight">vzrůstnější</text:p>
      <text:p text:style-name="Definition_20_Term_20_Tight">Plodnost</text:p>
      <text:p text:style-name="Definition_20_Definition_20_Tight">nastupuje ve 3. roce po výsadbě, velká, pravidelná (3,4-5,4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Konzervárenská odrůda vhodná do průměrných pěstitelských podmínek pro angrešt s jistou vysokou každoroční plodností.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